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00" w:lineRule="exact"/>
        <w:ind w:left="630" w:leftChars="300" w:right="630" w:rightChars="30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2019年《基本建设财务管理实操、风险管控与PPP项目管理、会计处理专题培训班》工作方案</w:t>
      </w:r>
    </w:p>
    <w:p>
      <w:pPr>
        <w:spacing w:before="156" w:beforeLines="50" w:line="4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主管主办单位：</w:t>
      </w:r>
      <w:r>
        <w:rPr>
          <w:rFonts w:hint="eastAsia" w:ascii="仿宋_GB2312" w:eastAsia="仿宋_GB2312"/>
          <w:sz w:val="28"/>
          <w:szCs w:val="28"/>
        </w:rPr>
        <w:t>中国总会计师协会</w:t>
      </w:r>
    </w:p>
    <w:p>
      <w:pPr>
        <w:spacing w:line="4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委托承办单位：</w:t>
      </w:r>
      <w:r>
        <w:rPr>
          <w:rFonts w:hint="eastAsia" w:ascii="仿宋_GB2312" w:eastAsia="仿宋_GB2312"/>
          <w:sz w:val="28"/>
          <w:szCs w:val="28"/>
        </w:rPr>
        <w:t>北京国培创新教育科技股份有限公司（国培机构）</w:t>
      </w:r>
    </w:p>
    <w:p>
      <w:pPr>
        <w:spacing w:before="156" w:beforeLines="50" w:after="312" w:afterLines="100" w:line="400" w:lineRule="exact"/>
        <w:ind w:firstLine="650" w:firstLineChars="249"/>
        <w:rPr>
          <w:rFonts w:ascii="黑体" w:hAnsi="黑体" w:eastAsia="黑体"/>
          <w:b/>
          <w:spacing w:val="-10"/>
          <w:sz w:val="28"/>
          <w:szCs w:val="28"/>
        </w:rPr>
      </w:pPr>
      <w:r>
        <w:rPr>
          <w:rFonts w:hint="eastAsia" w:ascii="黑体" w:hAnsi="黑体" w:eastAsia="黑体"/>
          <w:b/>
          <w:spacing w:val="-10"/>
          <w:sz w:val="28"/>
          <w:szCs w:val="28"/>
        </w:rPr>
        <w:t>一、时间地点</w:t>
      </w:r>
    </w:p>
    <w:tbl>
      <w:tblPr>
        <w:tblStyle w:val="3"/>
        <w:tblW w:w="53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2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4月17日-22日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杭州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5月15日-20日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厦门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6月12日-17日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7月17日-22日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8月14日-19日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8月21日-26日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昆明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9月 4 日- 9日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9月18日-23日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乌鲁木齐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10月16日-21日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重庆</w:t>
            </w:r>
          </w:p>
        </w:tc>
      </w:tr>
    </w:tbl>
    <w:p>
      <w:pPr>
        <w:tabs>
          <w:tab w:val="left" w:pos="1620"/>
          <w:tab w:val="left" w:pos="1800"/>
        </w:tabs>
        <w:spacing w:before="93" w:beforeLines="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hAnsi="宋体" w:eastAsia="仿宋_GB2312"/>
          <w:sz w:val="28"/>
          <w:szCs w:val="28"/>
        </w:rPr>
        <w:t>1、专题方案电子版请登录中国总会计师协会网站和国培财经网站获取；或致电010-</w:t>
      </w:r>
      <w:r>
        <w:rPr>
          <w:rFonts w:ascii="仿宋_GB2312" w:hAnsi="宋体" w:eastAsia="仿宋_GB2312"/>
          <w:sz w:val="28"/>
          <w:szCs w:val="28"/>
        </w:rPr>
        <w:t>53771881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索取。</w:t>
      </w:r>
    </w:p>
    <w:p>
      <w:pPr>
        <w:tabs>
          <w:tab w:val="left" w:pos="1620"/>
          <w:tab w:val="left" w:pos="1800"/>
        </w:tabs>
        <w:ind w:firstLine="523" w:firstLineChars="187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</w:t>
      </w:r>
      <w:r>
        <w:rPr>
          <w:rFonts w:hint="eastAsia" w:ascii="仿宋_GB2312" w:eastAsia="仿宋_GB2312"/>
          <w:color w:val="000000"/>
          <w:sz w:val="28"/>
          <w:szCs w:val="28"/>
        </w:rPr>
        <w:t>欢迎各会员单位和有关单位选择相关专题组织内训，我们将根据需求认真筹划、规范组织；烦请提前与我们联系，以预做准备。</w:t>
      </w:r>
    </w:p>
    <w:p>
      <w:pPr>
        <w:tabs>
          <w:tab w:val="left" w:pos="1620"/>
          <w:tab w:val="left" w:pos="1800"/>
        </w:tabs>
        <w:ind w:firstLine="523" w:firstLineChars="187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3、培训班具体地点，在开班一周前随《报到通知</w:t>
      </w:r>
      <w:r>
        <w:rPr>
          <w:rFonts w:hint="eastAsia" w:ascii="仿宋_GB2312" w:eastAsia="仿宋_GB2312"/>
          <w:color w:val="000000"/>
          <w:sz w:val="28"/>
          <w:szCs w:val="28"/>
        </w:rPr>
        <w:t>》告知。</w:t>
      </w:r>
    </w:p>
    <w:p>
      <w:pPr>
        <w:spacing w:before="156" w:beforeLines="50" w:after="312" w:afterLines="100" w:line="400" w:lineRule="exact"/>
        <w:ind w:firstLine="650" w:firstLineChars="249"/>
        <w:rPr>
          <w:rFonts w:ascii="黑体" w:hAnsi="黑体" w:eastAsia="黑体"/>
          <w:b/>
          <w:spacing w:val="-10"/>
          <w:sz w:val="28"/>
          <w:szCs w:val="28"/>
        </w:rPr>
      </w:pPr>
      <w:r>
        <w:rPr>
          <w:rFonts w:hint="eastAsia" w:ascii="黑体" w:hAnsi="黑体" w:eastAsia="黑体"/>
          <w:b/>
          <w:spacing w:val="-10"/>
          <w:sz w:val="28"/>
          <w:szCs w:val="28"/>
        </w:rPr>
        <w:t>二、培训内容</w:t>
      </w:r>
    </w:p>
    <w:p>
      <w:pPr>
        <w:tabs>
          <w:tab w:val="left" w:pos="1620"/>
          <w:tab w:val="left" w:pos="1800"/>
        </w:tabs>
        <w:spacing w:before="93" w:beforeLines="30" w:after="93" w:afterLines="30"/>
        <w:ind w:firstLine="562"/>
        <w:jc w:val="left"/>
        <w:rPr>
          <w:rFonts w:ascii="仿宋_GB2312" w:hAnsi="华文仿宋" w:eastAsia="仿宋_GB2312" w:cs="华文仿宋"/>
          <w:b/>
          <w:bCs/>
          <w:kern w:val="0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（一）建设项目财务管理与实务操作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1、《基本建设财务规则》、《中央基本建设项目竣工财务决算审核批复操作规程》（财办建[2018]2号）等最新政策应用解析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2、</w:t>
      </w:r>
      <w:r>
        <w:rPr>
          <w:rFonts w:ascii="仿宋_GB2312" w:eastAsia="仿宋_GB2312" w:cs="仿宋_GB2312"/>
          <w:sz w:val="28"/>
          <w:szCs w:val="28"/>
        </w:rPr>
        <w:t>建设项目EPC工程总承包费用项目组成解读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3、各相关部门的主要职责及风险承担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4、建设项目资金的筹集使用与管理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5、项目预算支出及预算调整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6、项目建设管理费取费新标准与支付办法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7、代建管理费取费新标准与支付办法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8、关于代建制管理费的使用及激励措施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9、项目成本控制的主要内容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10、不得列入项目建设成本的相关规定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11、项目竣工财务决算编制政策要求及编制方法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12、关于项目竣工财务决算审核重点及要求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13、待摊投资支出子项目管理规定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14、待核销基建支出项目与规定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15、竣工财务决算管理要求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16、基本建设项目竣工财务决算8大报表编制说明与技巧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17、基本建设项目竣工财务决算6大审核表编制说明与技巧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18、资产交付管理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19、结余资金管理 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20、项目评审中多发问题的案例分析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21、建设项目风险点突出表现</w:t>
      </w:r>
    </w:p>
    <w:p>
      <w:pPr>
        <w:tabs>
          <w:tab w:val="left" w:pos="1620"/>
          <w:tab w:val="left" w:pos="1800"/>
        </w:tabs>
        <w:ind w:firstLine="56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28"/>
          <w:szCs w:val="28"/>
        </w:rPr>
        <w:t>22、PPP项目与传统项目管理的异同</w:t>
      </w:r>
    </w:p>
    <w:p>
      <w:pPr>
        <w:tabs>
          <w:tab w:val="left" w:pos="1620"/>
          <w:tab w:val="left" w:pos="1800"/>
        </w:tabs>
        <w:spacing w:before="93" w:beforeLines="30" w:after="93" w:afterLines="30"/>
        <w:ind w:firstLine="562"/>
        <w:jc w:val="left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（二）基建财务内控体系构建与审计典型案例解析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1、基建财务内控的最新动态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（1）基建单位内控体系构建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（2）基建工程项目管控新技术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2、基建财务风险与常见问题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（1）工程项目主要财务风险分析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（2）工程项目主要合同风险分析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3、基建财务内控体系的构建思路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（1）基建财务内控设计思路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（2）内部控制实施的“三角理论”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（3）内控实施效果不理想的根本原因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4、基建财务内控体系的配套系统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5、基建财务内控体系案例分析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6、建设项目投资立项审计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7、设计（勘察）管理审计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8、招投标审计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9、合同管理审计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10、设备和材料采购审计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11、工程管理审计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12、工程造价审计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13、竣工验收审计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14、财务管理审计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15、PPP项目审计程序与方法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（三）PPP项目管理、会计处理与PPP资产证券化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1、PPP项目与EPC项目区别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2、PPP项目识别论证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3、PPP项目资产证券化流程与条件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4、PPP项目资产支持专项计划与票据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5、PPP项目财政预算管理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6、PPP项目资产负债管理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7、PPP项目监督管理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8、建设项目绩效（PPP）管理审计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（1）PPP项目审计依据、内容与方法</w:t>
      </w:r>
    </w:p>
    <w:p>
      <w:pPr>
        <w:tabs>
          <w:tab w:val="left" w:pos="1620"/>
          <w:tab w:val="left" w:pos="1800"/>
        </w:tabs>
        <w:ind w:left="559" w:leftChars="266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（2）投资绩效评价方法与指标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9、PPP项目会计处理三种模式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10、PPP项目无形资产与金融资产实务操作案例</w:t>
      </w:r>
      <w:r>
        <w:rPr>
          <w:rFonts w:hint="eastAsia" w:asci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eastAsia="仿宋_GB2312" w:cs="仿宋_GB2312"/>
          <w:sz w:val="28"/>
          <w:szCs w:val="28"/>
        </w:rPr>
        <w:t>11、PPP项目经典案例解析 </w:t>
      </w:r>
    </w:p>
    <w:p>
      <w:pPr>
        <w:spacing w:before="156" w:beforeLines="50" w:after="93" w:afterLines="30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三、培训对象</w:t>
      </w:r>
    </w:p>
    <w:p>
      <w:pPr>
        <w:spacing w:before="156" w:beforeLines="50" w:after="93" w:afterLines="30"/>
        <w:ind w:firstLine="528" w:firstLineChars="200"/>
        <w:rPr>
          <w:rFonts w:ascii="仿宋_GB2312" w:eastAsia="仿宋_GB2312"/>
          <w:spacing w:val="-8"/>
          <w:sz w:val="28"/>
          <w:szCs w:val="28"/>
        </w:rPr>
      </w:pPr>
      <w:r>
        <w:rPr>
          <w:rFonts w:hint="eastAsia" w:ascii="仿宋_GB2312" w:eastAsia="仿宋_GB2312"/>
          <w:spacing w:val="-8"/>
          <w:sz w:val="28"/>
          <w:szCs w:val="28"/>
        </w:rPr>
        <w:t>各级人民政府主管部门、财政厅（局）预算处（科）、经济建设处（科）财政投资评审中心、审计厅（局）投资科有关工作人员；各行政事业单位、大学从事基本建设管理的领导和财务（处）科、审计（处）科、基建部门负责人及有关人员；上市公司、国有企业、民营企业的总会计师、首席财务官、财务总监、财务经理等高、中层财务管理人员及其后备人员。</w:t>
      </w:r>
    </w:p>
    <w:p>
      <w:pPr>
        <w:spacing w:before="156" w:beforeLines="50" w:after="93" w:afterLines="30"/>
        <w:ind w:left="425" w:firstLine="141" w:firstLineChars="5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四、师资力量</w:t>
      </w:r>
    </w:p>
    <w:p>
      <w:pPr>
        <w:spacing w:before="156" w:beforeLines="50" w:after="93" w:afterLines="3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财政部等部委相关司局，中国财政科学研究院，南京审计大学、北京、上海、厦门国家会计学院等高等院校的权威专家、领导、教授和业内资深专家，总会计师等。</w:t>
      </w:r>
    </w:p>
    <w:p>
      <w:pPr>
        <w:spacing w:before="156" w:beforeLines="50" w:after="93" w:afterLines="30"/>
        <w:ind w:left="425" w:firstLine="141" w:firstLineChars="5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五、培训费用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专题培训班费用为每人每期3,200元；食宿统一安排，费用另计；往返交通及费用由参训单位自行办理和支付。</w:t>
      </w:r>
    </w:p>
    <w:p>
      <w:pPr>
        <w:spacing w:before="156" w:beforeLines="50" w:after="93" w:afterLines="30"/>
        <w:ind w:left="425" w:firstLine="141" w:firstLineChars="50"/>
        <w:rPr>
          <w:rFonts w:ascii="黑体" w:eastAsia="黑体"/>
          <w:b/>
          <w:sz w:val="26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六、参会办法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各地方总会计师协会、会员单位及相关单位可汇总本系统的参训人员填写报名表，传真至会务组（010-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53771881</w:t>
      </w:r>
      <w:r>
        <w:rPr>
          <w:rFonts w:hint="eastAsia" w:ascii="仿宋_GB2312" w:eastAsia="仿宋_GB2312"/>
          <w:sz w:val="28"/>
          <w:szCs w:val="28"/>
        </w:rPr>
        <w:t>）或发送电子邮件（会务组</w:t>
      </w:r>
      <w:r>
        <w:rPr>
          <w:rFonts w:hint="eastAsia" w:ascii="仿宋_GB2312" w:hAnsi="宋体" w:eastAsia="仿宋_GB2312"/>
          <w:sz w:val="28"/>
          <w:szCs w:val="28"/>
        </w:rPr>
        <w:t>E-mail：cacfo</w:t>
      </w:r>
      <w:r>
        <w:rPr>
          <w:rFonts w:ascii="仿宋_GB2312" w:hAnsi="宋体" w:eastAsia="仿宋_GB2312"/>
          <w:sz w:val="28"/>
          <w:szCs w:val="28"/>
        </w:rPr>
        <w:t>@13</w:t>
      </w:r>
      <w:r>
        <w:rPr>
          <w:rFonts w:hint="eastAsia" w:ascii="仿宋_GB2312" w:hAnsi="宋体" w:eastAsia="仿宋_GB2312"/>
          <w:sz w:val="28"/>
          <w:szCs w:val="28"/>
        </w:rPr>
        <w:t>9</w:t>
      </w:r>
      <w:r>
        <w:rPr>
          <w:rFonts w:ascii="仿宋_GB2312" w:hAnsi="宋体" w:eastAsia="仿宋_GB2312"/>
          <w:sz w:val="28"/>
          <w:szCs w:val="28"/>
        </w:rPr>
        <w:t>.com</w:t>
      </w:r>
      <w:r>
        <w:rPr>
          <w:rFonts w:hint="eastAsia" w:ascii="仿宋_GB2312" w:hAnsi="宋体" w:eastAsia="仿宋_GB2312"/>
          <w:sz w:val="28"/>
          <w:szCs w:val="28"/>
        </w:rPr>
        <w:t>；培训部E-mail：peixun@cacfo.com</w:t>
      </w:r>
      <w:r>
        <w:rPr>
          <w:rFonts w:hint="eastAsia" w:ascii="仿宋_GB2312" w:eastAsia="仿宋_GB2312"/>
          <w:sz w:val="28"/>
          <w:szCs w:val="28"/>
        </w:rPr>
        <w:t>）。参训人员可提前将培训费用汇入指定银行账号；并于每期培训班开班前十天，将银行汇款凭证和报名表传真至会务组，以便确认安排具体事宜</w:t>
      </w:r>
      <w:r>
        <w:rPr>
          <w:rFonts w:hint="eastAsia" w:ascii="仿宋_GB2312" w:eastAsia="仿宋_GB2312"/>
          <w:spacing w:val="-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会务组将于每期培训班开班前七天通知参训人员报到的详细地点、乘车路线及有关事项。</w:t>
      </w:r>
    </w:p>
    <w:p>
      <w:pPr>
        <w:spacing w:before="93" w:beforeLines="30" w:after="93" w:afterLines="30"/>
        <w:ind w:firstLine="548" w:firstLineChars="196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汇款方式:</w:t>
      </w:r>
      <w:r>
        <w:rPr>
          <w:rFonts w:hint="eastAsia" w:ascii="仿宋_GB2312" w:hAnsi="宋体" w:eastAsia="仿宋_GB2312"/>
          <w:bCs/>
          <w:sz w:val="28"/>
          <w:szCs w:val="28"/>
        </w:rPr>
        <w:t>户  名：北京国培创新教育科技股份有限公司</w:t>
      </w:r>
    </w:p>
    <w:p>
      <w:pPr>
        <w:spacing w:before="30" w:after="93" w:afterLines="30"/>
        <w:ind w:firstLine="1960" w:firstLineChars="7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开户行：中国工商银行海淀支行营业部</w:t>
      </w:r>
    </w:p>
    <w:p>
      <w:pPr>
        <w:spacing w:before="30" w:after="93" w:afterLines="30"/>
        <w:ind w:firstLine="1960" w:firstLineChars="700"/>
        <w:rPr>
          <w:rFonts w:ascii="仿宋_GB2312" w:hAnsi="宋体" w:eastAsia="仿宋_GB2312"/>
          <w:bCs/>
          <w:spacing w:val="6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帐  号：</w:t>
      </w:r>
      <w:r>
        <w:rPr>
          <w:rFonts w:ascii="仿宋_GB2312" w:hAnsi="宋体" w:eastAsia="仿宋_GB2312"/>
          <w:bCs/>
          <w:spacing w:val="6"/>
          <w:sz w:val="28"/>
          <w:szCs w:val="28"/>
        </w:rPr>
        <w:t>0200151609100016356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本《通知》文件信息发布见中国总会计师协会网站</w:t>
      </w:r>
      <w:r>
        <w:fldChar w:fldCharType="begin"/>
      </w:r>
      <w:r>
        <w:instrText xml:space="preserve"> HYPERLINK "http://www.cacfo.com" </w:instrText>
      </w:r>
      <w:r>
        <w:fldChar w:fldCharType="separate"/>
      </w:r>
      <w:r>
        <w:rPr>
          <w:rFonts w:hint="eastAsia" w:ascii="仿宋_GB2312" w:eastAsia="仿宋_GB2312"/>
          <w:color w:val="000000"/>
          <w:sz w:val="28"/>
          <w:szCs w:val="28"/>
        </w:rPr>
        <w:t>www.cacfo.com</w:t>
      </w:r>
      <w:r>
        <w:rPr>
          <w:rFonts w:hint="eastAsia" w:ascii="仿宋_GB2312" w:eastAsia="仿宋_GB2312"/>
          <w:color w:val="000000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和国培财经网站</w:t>
      </w:r>
      <w:r>
        <w:rPr>
          <w:rFonts w:hint="eastAsia" w:ascii="仿宋_GB2312" w:hAnsi="宋体" w:eastAsia="仿宋_GB2312"/>
          <w:bCs/>
          <w:sz w:val="28"/>
          <w:szCs w:val="28"/>
        </w:rPr>
        <w:t>www.guopeicaijing.com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before="156" w:beforeLines="50" w:after="93" w:afterLines="30"/>
        <w:ind w:left="425" w:firstLine="141" w:firstLineChars="5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七、培训证书</w:t>
      </w:r>
    </w:p>
    <w:p>
      <w:pPr>
        <w:ind w:firstLine="55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培训班学习期满，颁发中国总会计师协会《培训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结业</w:t>
      </w:r>
      <w:r>
        <w:rPr>
          <w:rFonts w:hint="eastAsia" w:ascii="仿宋_GB2312" w:eastAsia="仿宋_GB2312"/>
          <w:sz w:val="28"/>
          <w:szCs w:val="28"/>
        </w:rPr>
        <w:t>证书》。</w:t>
      </w:r>
    </w:p>
    <w:p>
      <w:pPr>
        <w:spacing w:before="156" w:beforeLines="50" w:after="93" w:afterLines="30"/>
        <w:ind w:firstLine="556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八、联系方式</w:t>
      </w:r>
    </w:p>
    <w:p>
      <w:pPr>
        <w:spacing w:after="93" w:afterLines="30"/>
        <w:ind w:firstLine="560" w:firstLineChars="200"/>
        <w:rPr>
          <w:rFonts w:ascii="黑体" w:eastAsia="黑体"/>
          <w:b/>
          <w:spacing w:val="-1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咨询电话：</w:t>
      </w:r>
      <w:r>
        <w:rPr>
          <w:rFonts w:hint="eastAsia" w:ascii="仿宋_GB2312" w:eastAsia="仿宋_GB2312"/>
          <w:color w:val="000000"/>
          <w:sz w:val="28"/>
          <w:szCs w:val="28"/>
        </w:rPr>
        <w:t>010-</w:t>
      </w:r>
      <w:r>
        <w:rPr>
          <w:rFonts w:ascii="仿宋_GB2312" w:eastAsia="仿宋_GB2312"/>
          <w:sz w:val="28"/>
          <w:szCs w:val="28"/>
        </w:rPr>
        <w:t>53771881</w:t>
      </w:r>
      <w:r>
        <w:rPr>
          <w:rFonts w:hint="eastAsia" w:ascii="仿宋_GB2312" w:eastAsia="仿宋_GB2312"/>
          <w:color w:val="000000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hint="eastAsia" w:ascii="仿宋_GB2312" w:eastAsia="仿宋_GB2312"/>
          <w:sz w:val="28"/>
          <w:szCs w:val="28"/>
        </w:rPr>
        <w:t>2， 88191832（中总协培训部）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报名传真：010-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53771881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人：攸兴臣，韦正龙，桑立强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F70CF"/>
    <w:rsid w:val="529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2019-02-12T02:27:00Z</dcterms:created>
  <dc:creator>桑立强</dc:creator>
  <cp:lastModifiedBy>桑立强</cp:lastModifiedBy>
  <dcterms:modified xsi:type="dcterms:W3CDTF">2019-02-12T02:27:45Z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