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附件2：</w:t>
      </w:r>
    </w:p>
    <w:p>
      <w:pPr>
        <w:ind w:left="630" w:leftChars="300" w:firstLine="1"/>
        <w:jc w:val="center"/>
        <w:rPr>
          <w:rFonts w:ascii="黑体" w:eastAsia="黑体"/>
          <w:b/>
          <w:sz w:val="32"/>
          <w:szCs w:val="32"/>
          <w:highlight w:val="none"/>
        </w:rPr>
      </w:pPr>
      <w:r>
        <w:rPr>
          <w:rFonts w:hint="eastAsia" w:ascii="黑体" w:eastAsia="黑体"/>
          <w:b/>
          <w:sz w:val="32"/>
          <w:szCs w:val="32"/>
          <w:highlight w:val="none"/>
        </w:rPr>
        <w:t>2019年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黑体" w:eastAsia="黑体"/>
          <w:b/>
          <w:sz w:val="32"/>
          <w:szCs w:val="32"/>
          <w:highlight w:val="none"/>
        </w:rPr>
        <w:t>《行政事业单位新政府会计准则制度实操、平行记账难点案例分析与内部控制实施、预算绩效管理系列培训班》专题介绍</w:t>
      </w:r>
    </w:p>
    <w:p>
      <w:pPr>
        <w:spacing w:before="312" w:beforeLines="100" w:after="156" w:afterLines="50" w:line="480" w:lineRule="exact"/>
        <w:rPr>
          <w:rFonts w:ascii="仿宋_GB2312" w:hAnsi="Calibri" w:eastAsia="仿宋_GB2312"/>
          <w:b/>
          <w:w w:val="80"/>
          <w:kern w:val="0"/>
          <w:sz w:val="28"/>
          <w:szCs w:val="28"/>
          <w:highlight w:val="none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  <w:highlight w:val="none"/>
        </w:rPr>
        <w:t>专题一：</w:t>
      </w:r>
      <w:r>
        <w:rPr>
          <w:rFonts w:hint="eastAsia" w:ascii="仿宋_GB2312" w:hAnsi="Calibri" w:eastAsia="仿宋_GB2312"/>
          <w:b/>
          <w:w w:val="80"/>
          <w:kern w:val="0"/>
          <w:sz w:val="28"/>
          <w:szCs w:val="28"/>
          <w:highlight w:val="none"/>
        </w:rPr>
        <w:t>政府会计准则制度实操、平行记账难点案例分析与内部控制实施专题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课程内容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1、政府会计准则具体应用及最新进展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《政府会计准则——基本准则》解读及应用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政府会计准则第1号-9号应用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准则制定最新进展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2、《政府会计制度》报表重点内容解读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财务、预算明细账和辅助账设置技巧与举例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《会计调整》解读与举例、《现金流量表》编制技巧与举例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3、政府会计制度系列补充规定、衔接规定与实施难点解析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(1)《政府会计制度——行政事业单位会计科目和报表》与《行政单位会计制度》《事业单位会计制度》的衔接规定与实施难点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(2)高等学校、中小学校、科学事业单位、医院、基层医疗卫生机构、测绘事业单位、地质勘查、彩票、国有林场和苗圃等执行《政府会计制度——行政事业单位会计科目和报表》补充规定和衔接规定解析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4、《政府会计制度》平行记账难点解读与案例分析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(1)平行记账总结与综合应用归纳分析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把握特殊需平行记账业务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把握不需进行平行记账业务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平行记账科目对应关系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重点科目核算举例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库存现金和银行存款平行记账应用示范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零余额账户用款额度平行记账应用示范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财政应返还额度平行记账应用示范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往来账款核算举例与坏账准备核算举例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5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⑤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待摊费用与预提费用的核算区别举例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6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⑥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固定资产核算与在建工程核算难点举例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7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⑦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公共基础设施与政府储备物资核算举例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8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⑧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无形资产核算难点与研发支出核算举例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9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⑨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财政拨款收入、事业收入、非财政拨款收入核算区别与举例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(3)难点总结分析</w:t>
      </w:r>
    </w:p>
    <w:p>
      <w:pPr>
        <w:pStyle w:val="4"/>
        <w:tabs>
          <w:tab w:val="left" w:pos="1205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国库集中支付业务的核算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收入与预算收入的关系分析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结转与结余分配区别的核算分析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财务会计、预算会计年末结转技巧与图解分析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5、行政事业单位内部控制</w:t>
      </w:r>
      <w:r>
        <w:rPr>
          <w:rFonts w:hint="eastAsia" w:ascii="仿宋_GB2312" w:hAnsi="Calibri" w:eastAsia="仿宋_GB2312"/>
          <w:b/>
          <w:sz w:val="28"/>
          <w:szCs w:val="28"/>
        </w:rPr>
        <w:t>实施技巧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(1)中国政府内部控制标准制定与实施解析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(2)行政事业单位内部控制建设的流程与原则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(3)单位层面的内部控制建设要点与实施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(4)行政事业单位内部控制建设的方法体系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(5)行政事业单位内部控制的评价与监督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6、内部控制报告管理制度与报告编报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行政事业单位内部控制报告管理制度解析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)行政事业单位内部控制报告的编制与报送</w:t>
      </w:r>
      <w:r>
        <w:rPr>
          <w:rFonts w:hint="eastAsia" w:ascii="仿宋_GB2312" w:eastAsia="仿宋_GB2312" w:cs="仿宋_GB2312"/>
          <w:sz w:val="28"/>
          <w:szCs w:val="28"/>
        </w:rPr>
        <w:t>及实例详解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)行政事业单位内部控制报告的使用</w:t>
      </w:r>
      <w:r>
        <w:rPr>
          <w:rFonts w:hint="eastAsia" w:ascii="仿宋_GB2312" w:eastAsia="仿宋_GB2312" w:cs="仿宋_GB2312"/>
          <w:sz w:val="28"/>
          <w:szCs w:val="28"/>
        </w:rPr>
        <w:t>与监督检查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行政事业单位内部控制实施与报告编写常见难点问题解答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最新内部控制报告变动趋势与实施办法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7、行政事业单位内部审计实务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内部审计的概念与内部审计标准体系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单位内部审计的基本程序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单位内部审计的主要方法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单位内部审计的重点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单位内部审计的瓶颈问题</w:t>
      </w:r>
    </w:p>
    <w:p>
      <w:pPr>
        <w:tabs>
          <w:tab w:val="left" w:pos="1620"/>
          <w:tab w:val="left" w:pos="1800"/>
        </w:tabs>
        <w:spacing w:before="93" w:beforeLines="30" w:after="93" w:afterLines="30" w:line="520" w:lineRule="exact"/>
        <w:ind w:firstLine="413" w:firstLineChars="147"/>
        <w:jc w:val="left"/>
        <w:rPr>
          <w:rFonts w:ascii="仿宋_GB2312" w:hAnsi="Calibri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专题二: 行政事业单位实施预算绩效管理与政府会计改革专题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1、政府会计改革最新动态解析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财税体制改革与政府会计改革背景解析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行政事业单位会计改革趋势和最新动态解析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政府会计标准体系解析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2、行政事业单位的预算绩效管理实施与滚动预算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《中共中央 国务院关于全面实施预算绩效管理的意见》解析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全面实施预算绩效管理的重要意义、预算绩效管理的重点环节、绩效管理监督问责、工作协调机制等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预算绩效管理实务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财政支出管理绩效综合评价方案解析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部门支出管理绩效综合评价方案</w:t>
      </w:r>
    </w:p>
    <w:p>
      <w:pPr>
        <w:widowControl/>
        <w:ind w:left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财政支出绩效评价实务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绩效指标体系设计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绩效评价数据来源及标准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财政支出绩效评价操作案例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项目单位财政支出项目绩效评价案例及经验分享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地方财政绩效评价案例及经验分享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中央部门财政支出绩效评价案例及经验分享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绩效评价报告编写技巧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绩效评价报告编写中容易出现的共性问题归纳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绩效评价报告编写的过程与要求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)《财政管理工作绩效考核与激励办法》</w:t>
      </w:r>
      <w:r>
        <w:rPr>
          <w:rFonts w:hint="eastAsia" w:ascii="仿宋_GB2312" w:eastAsia="仿宋_GB2312" w:cs="仿宋_GB2312"/>
          <w:sz w:val="28"/>
          <w:szCs w:val="28"/>
        </w:rPr>
        <w:t>解析</w:t>
      </w:r>
    </w:p>
    <w:p>
      <w:pPr>
        <w:ind w:left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财政管理工作绩效考核奖励资金分配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/>
          <w:sz w:val="28"/>
          <w:szCs w:val="28"/>
        </w:rPr>
        <w:t>)《地方财政预算执行支出进度考核办法》</w:t>
      </w:r>
      <w:r>
        <w:rPr>
          <w:rFonts w:hint="eastAsia" w:ascii="仿宋_GB2312" w:eastAsia="仿宋_GB2312" w:cs="仿宋_GB2312"/>
          <w:sz w:val="28"/>
          <w:szCs w:val="28"/>
        </w:rPr>
        <w:t>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基本建设类投资、财政专项资金预算绩效管理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</w:rPr>
        <w:t>10</w:t>
      </w:r>
      <w:r>
        <w:rPr>
          <w:rFonts w:ascii="仿宋_GB2312" w:hAnsi="宋体" w:eastAsia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中期财政规划编制实例与三年滚动预算实施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3、《政府会计制度》报表重点内容解读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财务、预算明细账和辅助账设置技巧与举例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《会计调整》解读与举例、《现金流量表》编制技巧与举例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4、《政府会计制度》平行记账难点解读与案例分析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(1)平行记账总结与综合应用归纳分析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把握特殊需平行记账业务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把握不需进行平行记账业务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平行记账科目对应关系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重点科目核算举例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库存现金和银行存款平行记账应用示范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零余额账户用款额度平行记账应用示范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财政应返还额度平行记账应用示范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往来账款核算举例与坏账准备核算举例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5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⑤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待摊费用与预提费用的核算区别举例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6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⑥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固定资产核算与在建工程核算难点举例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7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⑦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公共基础设施与政府储备物资核算举例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8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⑧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无形资产核算难点与研发支出核算举例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9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⑨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财政拨款收入、事业收入、非财政拨款收入核算区别与举例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(3)难点总结分析</w:t>
      </w:r>
    </w:p>
    <w:p>
      <w:pPr>
        <w:pStyle w:val="4"/>
        <w:tabs>
          <w:tab w:val="left" w:pos="1205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国库集中支付业务的核算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收入与预算收入的关系分析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结转与结余分配区别的核算分析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财务会计、预算会计年末结转技巧与图解分析</w:t>
      </w:r>
    </w:p>
    <w:p>
      <w:pPr>
        <w:tabs>
          <w:tab w:val="left" w:pos="1620"/>
          <w:tab w:val="left" w:pos="1800"/>
        </w:tabs>
        <w:ind w:firstLine="551" w:firstLineChars="196"/>
        <w:jc w:val="left"/>
        <w:rPr>
          <w:rFonts w:asci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5、财务报告编制与落地实施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1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 xml:space="preserve"> 政府部门财务报告编制</w:t>
      </w:r>
    </w:p>
    <w:p>
      <w:pPr>
        <w:pStyle w:val="4"/>
        <w:tabs>
          <w:tab w:val="left" w:pos="1620"/>
          <w:tab w:val="left" w:pos="1800"/>
        </w:tabs>
        <w:ind w:left="980" w:firstLine="0"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ascii="仿宋_GB2312" w:eastAsia="仿宋_GB2312" w:cs="仿宋_GB2312"/>
          <w:sz w:val="28"/>
          <w:szCs w:val="28"/>
          <w:highlight w:val="none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  <w:highlight w:val="none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①</w:t>
      </w:r>
      <w:r>
        <w:rPr>
          <w:rFonts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《政府部门财务报告编制操作指南（试行）》解析</w:t>
      </w:r>
    </w:p>
    <w:p>
      <w:pPr>
        <w:pStyle w:val="4"/>
        <w:tabs>
          <w:tab w:val="left" w:pos="1620"/>
          <w:tab w:val="left" w:pos="1800"/>
        </w:tabs>
        <w:ind w:left="980" w:firstLine="0"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hAnsi="宋体" w:eastAsia="仿宋_GB2312"/>
          <w:sz w:val="28"/>
          <w:szCs w:val="28"/>
          <w:highlight w:val="none"/>
        </w:rPr>
        <w:fldChar w:fldCharType="begin"/>
      </w:r>
      <w:r>
        <w:rPr>
          <w:rFonts w:ascii="仿宋_GB2312" w:hAnsi="宋体" w:eastAsia="仿宋_GB2312"/>
          <w:sz w:val="28"/>
          <w:szCs w:val="28"/>
          <w:highlight w:val="none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  <w:highlight w:val="none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  <w:highlight w:val="none"/>
        </w:rPr>
        <w:instrText xml:space="preserve"> </w:instrText>
      </w:r>
      <w:r>
        <w:rPr>
          <w:rFonts w:ascii="仿宋_GB2312" w:hAnsi="宋体" w:eastAsia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  <w:highlight w:val="none"/>
        </w:rPr>
        <w:t>②</w:t>
      </w:r>
      <w:r>
        <w:rPr>
          <w:rFonts w:ascii="仿宋_GB2312" w:hAnsi="宋体" w:eastAsia="仿宋_GB2312"/>
          <w:sz w:val="28"/>
          <w:szCs w:val="28"/>
          <w:highlight w:val="none"/>
        </w:rPr>
        <w:fldChar w:fldCharType="end"/>
      </w:r>
      <w:r>
        <w:rPr>
          <w:rFonts w:ascii="仿宋_GB2312" w:eastAsia="仿宋_GB2312" w:cs="仿宋_GB2312"/>
          <w:sz w:val="28"/>
          <w:szCs w:val="28"/>
          <w:highlight w:val="none"/>
        </w:rPr>
        <w:t>权责发生制和收付实现制在日常账务处理中的主要变化</w:t>
      </w:r>
    </w:p>
    <w:p>
      <w:pPr>
        <w:pStyle w:val="4"/>
        <w:tabs>
          <w:tab w:val="left" w:pos="1620"/>
          <w:tab w:val="left" w:pos="1800"/>
        </w:tabs>
        <w:ind w:left="980" w:firstLine="0"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hAnsi="宋体" w:eastAsia="仿宋_GB2312"/>
          <w:sz w:val="28"/>
          <w:szCs w:val="28"/>
          <w:highlight w:val="none"/>
        </w:rPr>
        <w:fldChar w:fldCharType="begin"/>
      </w:r>
      <w:r>
        <w:rPr>
          <w:rFonts w:ascii="仿宋_GB2312" w:hAnsi="宋体" w:eastAsia="仿宋_GB2312"/>
          <w:sz w:val="28"/>
          <w:szCs w:val="28"/>
          <w:highlight w:val="none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  <w:highlight w:val="none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  <w:highlight w:val="none"/>
        </w:rPr>
        <w:instrText xml:space="preserve"> </w:instrText>
      </w:r>
      <w:r>
        <w:rPr>
          <w:rFonts w:ascii="仿宋_GB2312" w:hAnsi="宋体" w:eastAsia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  <w:highlight w:val="none"/>
        </w:rPr>
        <w:t>③</w:t>
      </w:r>
      <w:r>
        <w:rPr>
          <w:rFonts w:ascii="仿宋_GB2312" w:hAnsi="宋体" w:eastAsia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政府部门会计报表与附注编制难点</w:t>
      </w:r>
    </w:p>
    <w:p>
      <w:pPr>
        <w:pStyle w:val="4"/>
        <w:tabs>
          <w:tab w:val="left" w:pos="1620"/>
          <w:tab w:val="left" w:pos="1800"/>
        </w:tabs>
        <w:ind w:left="980" w:firstLine="0" w:firstLineChars="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④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合并财务报告案例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2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 xml:space="preserve"> 政府综合财务报告编制难点及案例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(3) 地方政府综合财务报告合并编制难点及案例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  <w:highlight w:val="none"/>
        </w:rPr>
      </w:pPr>
      <w:r>
        <w:rPr>
          <w:rFonts w:hint="eastAsia" w:ascii="仿宋_GB2312" w:hAnsi="Calibri" w:eastAsia="仿宋_GB2312"/>
          <w:b/>
          <w:sz w:val="28"/>
          <w:szCs w:val="28"/>
          <w:highlight w:val="none"/>
        </w:rPr>
        <w:t>6、行政事业单位国有资产管理与年度报告编报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1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《关于做好行政事业性国有资产月报试编工作》的通知解读</w:t>
      </w:r>
    </w:p>
    <w:p>
      <w:pPr>
        <w:ind w:firstLine="560"/>
        <w:rPr>
          <w:rFonts w:ascii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2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《中央行政事业单位国有资产配置管理办法》解析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行政事业单位资产管理法规修订前瞻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(4)行政事业单位资产使用与处置难点解析与收益管理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(5)事业单位对外投资管理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(6)资产会计核算实例分析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(7)资产清查实例分析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(8)国有资产年度报告编报实例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7、财政电子票据管理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(1)财政部《关于全面推开财政电子票据管理改革的通知》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 财政电子票据管理操作及流程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67E2"/>
    <w:rsid w:val="343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2019-06-19T01:38:00Z</dcterms:created>
  <dc:creator>桑立强</dc:creator>
  <cp:lastModifiedBy>桑立强</cp:lastModifiedBy>
  <dcterms:modified xsi:type="dcterms:W3CDTF">2019-06-19T01:39:19Z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