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ind w:left="630" w:leftChars="300" w:firstLine="1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2019年《行政事业单位新政府会计准则与制度应用、内部控制实施、预算绩效管理系列培训班》专题介绍</w:t>
      </w:r>
    </w:p>
    <w:p>
      <w:pPr>
        <w:spacing w:before="312" w:beforeLines="100" w:after="156" w:afterLines="50" w:line="480" w:lineRule="exact"/>
        <w:ind w:firstLine="562" w:firstLineChars="200"/>
        <w:rPr>
          <w:rFonts w:ascii="仿宋_GB2312" w:hAnsi="Calibri" w:eastAsia="仿宋_GB2312"/>
          <w:b/>
          <w:kern w:val="0"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专题一：政府会计准则制度实操与行政事业单位内部控制实施专题培训班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413" w:firstLineChars="147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课程内容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1、政府会计准则具体应用及最新进展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《政府会计准则——基本准则》解读及应用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政府会计具体准则解读及应用</w:t>
      </w:r>
    </w:p>
    <w:p>
      <w:pPr>
        <w:pStyle w:val="4"/>
        <w:tabs>
          <w:tab w:val="left" w:pos="1620"/>
          <w:tab w:val="left" w:pos="1800"/>
        </w:tabs>
        <w:ind w:left="841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1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①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政府会计准则第1号-6号准则应用</w:t>
      </w:r>
    </w:p>
    <w:p>
      <w:pPr>
        <w:pStyle w:val="4"/>
        <w:tabs>
          <w:tab w:val="left" w:pos="1620"/>
          <w:tab w:val="left" w:pos="1800"/>
        </w:tabs>
        <w:ind w:left="841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2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②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《政府会计准则第7号—会计调整》解读及应用</w:t>
      </w:r>
    </w:p>
    <w:p>
      <w:pPr>
        <w:pStyle w:val="4"/>
        <w:tabs>
          <w:tab w:val="left" w:pos="1620"/>
          <w:tab w:val="left" w:pos="1800"/>
        </w:tabs>
        <w:ind w:left="841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3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③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《政府会计准则第8号—负债》解读及应用</w:t>
      </w:r>
    </w:p>
    <w:p>
      <w:pPr>
        <w:pStyle w:val="4"/>
        <w:tabs>
          <w:tab w:val="left" w:pos="1620"/>
          <w:tab w:val="left" w:pos="1800"/>
        </w:tabs>
        <w:ind w:left="841" w:firstLine="0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fldChar w:fldCharType="begin"/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hint="eastAsia" w:ascii="仿宋_GB2312" w:eastAsia="仿宋_GB2312" w:cs="仿宋_GB2312"/>
          <w:sz w:val="28"/>
          <w:szCs w:val="28"/>
        </w:rPr>
        <w:instrText xml:space="preserve">= 4 \* GB3</w:instrText>
      </w:r>
      <w:r>
        <w:rPr>
          <w:rFonts w:ascii="仿宋_GB2312" w:eastAsia="仿宋_GB2312" w:cs="仿宋_GB2312"/>
          <w:sz w:val="28"/>
          <w:szCs w:val="28"/>
        </w:rPr>
        <w:instrText xml:space="preserve"> </w:instrText>
      </w:r>
      <w:r>
        <w:rPr>
          <w:rFonts w:asci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</w:rPr>
        <w:t>④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《政府会计准则第9号—财务报表编制和列报》解读及应用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准则制定最新进展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2、《政府会计制度——行政事业单位会计科目和报表》详解与实施难点解析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最</w:t>
      </w:r>
      <w:r>
        <w:rPr>
          <w:rFonts w:hint="eastAsia" w:ascii="仿宋_GB2312" w:eastAsia="仿宋_GB2312" w:cs="仿宋_GB2312"/>
          <w:bCs/>
          <w:sz w:val="28"/>
          <w:szCs w:val="28"/>
        </w:rPr>
        <w:t>新《政府会计制度》</w:t>
      </w:r>
      <w:r>
        <w:rPr>
          <w:rFonts w:hint="eastAsia" w:ascii="仿宋_GB2312" w:eastAsia="仿宋_GB2312" w:cs="仿宋_GB2312"/>
          <w:sz w:val="28"/>
          <w:szCs w:val="28"/>
        </w:rPr>
        <w:t>总说明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会计科目名称和编号及其变动原理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会计科目使用说明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报表格式和报表编制说明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政府会计制度净资产与预算结余核算逻辑及其勾稽关系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主要业务和事项账务处理举例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3、《政府会计制度——行政事业单位会计科目和报表》系列补充规定和衔接规定与实施难点解析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(1)《政府会计制度——行政事业单位会计科目和报表》与《行政单位会计制度》《事业单位会计制度》的衔接规定与实施难点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(2)高等学校、中小学校、科学事业单位、医院、基层医疗卫生机构、测绘事业单位、地质勘查、彩票、国有林场和苗圃等执行《政府会计制度——行政事业单位会计科目和报表》补充规定和衔接规定解析</w:t>
      </w:r>
    </w:p>
    <w:p>
      <w:pPr>
        <w:tabs>
          <w:tab w:val="left" w:pos="1620"/>
          <w:tab w:val="left" w:pos="1800"/>
        </w:tabs>
        <w:ind w:firstLine="551" w:firstLineChars="196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4、进一步做好政府会计准则制度新旧衔接若干问题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(1)关于预算会计的核算范围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(2)关于尚未入账的存量公共基础设施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(3)关于事业单位“非财政拨款结余”科目的新旧衔接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关于按合同完成进度确认事业收入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关于非同级财政拨款（预算）收入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其他问题</w:t>
      </w:r>
    </w:p>
    <w:p>
      <w:pPr>
        <w:tabs>
          <w:tab w:val="left" w:pos="1620"/>
          <w:tab w:val="left" w:pos="1800"/>
        </w:tabs>
        <w:ind w:firstLine="551" w:firstLineChars="196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5、政府部门财务报告编制的修订与落地实施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新《政府部门财务报告编制操作指南（试行）》对比分析与应用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新《政府综合财务报告编制操作指南（试行）》对比分析与应用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6、行政事业单位内部控制</w:t>
      </w:r>
      <w:r>
        <w:rPr>
          <w:rFonts w:hint="eastAsia" w:ascii="仿宋_GB2312" w:hAnsi="Calibri" w:eastAsia="仿宋_GB2312"/>
          <w:b/>
          <w:sz w:val="28"/>
          <w:szCs w:val="28"/>
        </w:rPr>
        <w:t>实施技巧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(1)中国政府内部控制标准制定与实施解析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(2)行政事业单位内部控制建设的流程与原则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(3)单位层面的内部控制建设要点与实施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(4)行政事业单位内部控制建设的方法体系</w:t>
      </w:r>
    </w:p>
    <w:p>
      <w:pPr>
        <w:ind w:left="561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(5)行政事业单位内部控制的评价与监督</w:t>
      </w:r>
    </w:p>
    <w:p>
      <w:pPr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单位内部控制评价办法、工作底稿、缺陷的认定、评价报告、组织保证、案例与重难点问题解析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7、内部控制报告管理制度与报告撰写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行政事业单位内部控制报告管理制度解析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)内部控制报告</w:t>
      </w:r>
      <w:r>
        <w:rPr>
          <w:rFonts w:hint="eastAsia" w:ascii="仿宋_GB2312" w:eastAsia="仿宋_GB2312" w:cs="仿宋_GB2312"/>
          <w:sz w:val="28"/>
          <w:szCs w:val="28"/>
        </w:rPr>
        <w:t>与其</w:t>
      </w:r>
      <w:r>
        <w:rPr>
          <w:rFonts w:ascii="仿宋_GB2312" w:eastAsia="仿宋_GB2312" w:cs="仿宋_GB2312"/>
          <w:sz w:val="28"/>
          <w:szCs w:val="28"/>
        </w:rPr>
        <w:t>应当遵循</w:t>
      </w:r>
      <w:r>
        <w:rPr>
          <w:rFonts w:hint="eastAsia" w:ascii="仿宋_GB2312" w:eastAsia="仿宋_GB2312" w:cs="仿宋_GB2312"/>
          <w:sz w:val="28"/>
          <w:szCs w:val="28"/>
        </w:rPr>
        <w:t>的</w:t>
      </w:r>
      <w:r>
        <w:rPr>
          <w:rFonts w:ascii="仿宋_GB2312" w:eastAsia="仿宋_GB2312" w:cs="仿宋_GB2312"/>
          <w:sz w:val="28"/>
          <w:szCs w:val="28"/>
        </w:rPr>
        <w:t>原则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)内部控制报告编报工作的组织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)行政事业单位内部控制报告的编制与报送</w:t>
      </w:r>
      <w:r>
        <w:rPr>
          <w:rFonts w:hint="eastAsia" w:ascii="仿宋_GB2312" w:eastAsia="仿宋_GB2312" w:cs="仿宋_GB2312"/>
          <w:sz w:val="28"/>
          <w:szCs w:val="28"/>
        </w:rPr>
        <w:t>及实例详解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)部门行政事业单位</w:t>
      </w:r>
      <w:r>
        <w:rPr>
          <w:rFonts w:hint="eastAsia" w:ascii="仿宋_GB2312" w:eastAsia="仿宋_GB2312" w:cs="仿宋_GB2312"/>
          <w:sz w:val="28"/>
          <w:szCs w:val="28"/>
        </w:rPr>
        <w:t>与</w:t>
      </w:r>
      <w:r>
        <w:rPr>
          <w:rFonts w:ascii="仿宋_GB2312" w:eastAsia="仿宋_GB2312" w:cs="仿宋_GB2312"/>
          <w:sz w:val="28"/>
          <w:szCs w:val="28"/>
        </w:rPr>
        <w:t>地区行政事业单位内部控制报告的编制与报送</w:t>
      </w:r>
      <w:r>
        <w:rPr>
          <w:rFonts w:hint="eastAsia" w:ascii="仿宋_GB2312" w:eastAsia="仿宋_GB2312" w:cs="仿宋_GB2312"/>
          <w:sz w:val="28"/>
          <w:szCs w:val="28"/>
        </w:rPr>
        <w:t>及实例详解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)行政事业单位内部控制报告的使用</w:t>
      </w:r>
      <w:r>
        <w:rPr>
          <w:rFonts w:hint="eastAsia" w:ascii="仿宋_GB2312" w:eastAsia="仿宋_GB2312" w:cs="仿宋_GB2312"/>
          <w:sz w:val="28"/>
          <w:szCs w:val="28"/>
        </w:rPr>
        <w:t>与监督检查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行政事业单位内部控制实施与报告编写常见难点问题解答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最新内部控制报告变动趋势与实施办法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8、行政事业单位内部审计实务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内部审计的概念与内部审计标准体系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单位内部审计的基本程序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单位内部审计的主要方法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单位内部审计的重点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单位内部审计的瓶颈问题</w:t>
      </w:r>
    </w:p>
    <w:p>
      <w:pPr>
        <w:tabs>
          <w:tab w:val="left" w:pos="1620"/>
          <w:tab w:val="left" w:pos="1800"/>
        </w:tabs>
        <w:spacing w:before="93" w:beforeLines="30" w:after="93" w:afterLines="30" w:line="520" w:lineRule="exact"/>
        <w:ind w:firstLine="413" w:firstLineChars="147"/>
        <w:jc w:val="left"/>
        <w:rPr>
          <w:rFonts w:ascii="仿宋_GB2312" w:hAnsi="Calibri" w:eastAsia="仿宋_GB2312"/>
          <w:b/>
          <w:kern w:val="0"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 xml:space="preserve"> 专题二: 行政事业单位实施预算绩效管理与政府会计改革专题培训班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课程内容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1、政府会计改革最新动态解析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财税体制改革与政府会计改革背景解析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行政事业单位会计改革趋势和最新动态解析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政府会计标准体系解析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2、行政事业单位的预算绩效管理实施与滚动预算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《中共中央 国务院关于全面实施预算绩效管理的意见》解析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全面实施预算绩效管理的重要意义、预算绩效管理的重点环节、绩效管理监督问责、工作协调机制等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预算绩效管理实务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财政支出管理绩效综合评价方案解析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部门支出管理绩效综合评价方案</w:t>
      </w:r>
    </w:p>
    <w:p>
      <w:pPr>
        <w:widowControl/>
        <w:ind w:left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财政支出绩效评价实务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绩效指标体系设计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绩效评价数据来源及标准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财政支出绩效评价操作案例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项目单位财政支出项目绩效评价案例及经验分享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地方财政绩效评价案例及经验分享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3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③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中央部门财政支出绩效评价案例及经验分享</w:t>
      </w:r>
    </w:p>
    <w:p>
      <w:pPr>
        <w:widowControl/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绩效评价报告编写技巧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1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①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绩效评价报告编写中容易出现的共性问题归纳</w:t>
      </w:r>
    </w:p>
    <w:p>
      <w:pPr>
        <w:pStyle w:val="4"/>
        <w:widowControl/>
        <w:ind w:left="980"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= 2 \* GB3</w:instrText>
      </w:r>
      <w:r>
        <w:rPr>
          <w:rFonts w:ascii="仿宋_GB2312" w:hAnsi="宋体" w:eastAsia="仿宋_GB2312"/>
          <w:sz w:val="28"/>
          <w:szCs w:val="28"/>
        </w:rPr>
        <w:instrText xml:space="preserve">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Fonts w:hint="eastAsia" w:ascii="仿宋_GB2312" w:hAnsi="宋体" w:eastAsia="仿宋_GB2312"/>
          <w:sz w:val="28"/>
          <w:szCs w:val="28"/>
        </w:rPr>
        <w:t>②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</w:rPr>
        <w:t>绩效评价报告编写的过程与要求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)《财政管理工作绩效考核与激励办法》</w:t>
      </w:r>
      <w:r>
        <w:rPr>
          <w:rFonts w:hint="eastAsia" w:ascii="仿宋_GB2312" w:eastAsia="仿宋_GB2312" w:cs="仿宋_GB2312"/>
          <w:sz w:val="28"/>
          <w:szCs w:val="28"/>
        </w:rPr>
        <w:t>解析</w:t>
      </w:r>
    </w:p>
    <w:p>
      <w:pPr>
        <w:ind w:left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财政管理工作绩效考核奖励资金分配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8</w:t>
      </w:r>
      <w:r>
        <w:rPr>
          <w:rFonts w:ascii="仿宋_GB2312" w:eastAsia="仿宋_GB2312" w:cs="仿宋_GB2312"/>
          <w:sz w:val="28"/>
          <w:szCs w:val="28"/>
        </w:rPr>
        <w:t>)《地方财政预算执行支出进度考核办法》</w:t>
      </w:r>
      <w:r>
        <w:rPr>
          <w:rFonts w:hint="eastAsia" w:ascii="仿宋_GB2312" w:eastAsia="仿宋_GB2312" w:cs="仿宋_GB2312"/>
          <w:sz w:val="28"/>
          <w:szCs w:val="28"/>
        </w:rPr>
        <w:t>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基本建设类投资、财政专项资金预算绩效管理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</w:rPr>
        <w:t>10</w:t>
      </w:r>
      <w:r>
        <w:rPr>
          <w:rFonts w:ascii="仿宋_GB2312" w:hAnsi="宋体" w:eastAsia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中期财政规划的要求与主要内容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</w:rPr>
        <w:t>11</w:t>
      </w:r>
      <w:r>
        <w:rPr>
          <w:rFonts w:ascii="仿宋_GB2312" w:hAnsi="宋体" w:eastAsia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中期财政规划</w:t>
      </w:r>
      <w:r>
        <w:rPr>
          <w:rFonts w:ascii="仿宋_GB2312" w:hAnsi="宋体" w:eastAsia="仿宋_GB2312"/>
          <w:sz w:val="28"/>
          <w:szCs w:val="28"/>
        </w:rPr>
        <w:t>编制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ascii="仿宋_GB2312" w:hAnsi="宋体" w:eastAsia="仿宋_GB2312"/>
          <w:sz w:val="28"/>
          <w:szCs w:val="28"/>
        </w:rPr>
        <w:t>关键事项</w:t>
      </w:r>
    </w:p>
    <w:p>
      <w:pPr>
        <w:widowControl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hAnsi="宋体" w:eastAsia="仿宋_GB2312"/>
          <w:sz w:val="28"/>
          <w:szCs w:val="28"/>
        </w:rPr>
        <w:t>中期财政规划编制实例与三年滚动预算实施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3、《政府会计制度——行政事业单位会计科目和报表》详解与实施难点解析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最</w:t>
      </w:r>
      <w:r>
        <w:rPr>
          <w:rFonts w:hint="eastAsia" w:ascii="仿宋_GB2312" w:eastAsia="仿宋_GB2312" w:cs="仿宋_GB2312"/>
          <w:bCs/>
          <w:sz w:val="28"/>
          <w:szCs w:val="28"/>
        </w:rPr>
        <w:t>新《政府会计制度》</w:t>
      </w:r>
      <w:r>
        <w:rPr>
          <w:rFonts w:hint="eastAsia" w:ascii="仿宋_GB2312" w:eastAsia="仿宋_GB2312" w:cs="仿宋_GB2312"/>
          <w:sz w:val="28"/>
          <w:szCs w:val="28"/>
        </w:rPr>
        <w:t>总说明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会计科目名称和编号及其变动原理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会计科目使用说明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报表格式和报表编制说明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政府会计制度净资产与预算结余核算逻辑及其勾稽关系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主要业务和事项账务处理举例</w:t>
      </w:r>
    </w:p>
    <w:p>
      <w:pPr>
        <w:tabs>
          <w:tab w:val="left" w:pos="1620"/>
          <w:tab w:val="left" w:pos="1800"/>
        </w:tabs>
        <w:ind w:firstLine="548" w:firstLineChars="196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进一步做好政府会计准则制度新旧衔接若干问题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(1)关于预算会计的核算范围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(2)关于尚未入账的存量公共基础设施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(3)关于事业单位“非财政拨款结余”科目的新旧衔接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关于按合同完成进度确认事业收入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关于非同级财政拨款（预算）收入</w:t>
      </w:r>
    </w:p>
    <w:p>
      <w:pPr>
        <w:tabs>
          <w:tab w:val="left" w:pos="1620"/>
          <w:tab w:val="left" w:pos="1800"/>
        </w:tabs>
        <w:ind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其他问题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5、行政事业单位资产管理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《关于做好行政事业性国有资产月报试编工作》的通知解读</w:t>
      </w:r>
    </w:p>
    <w:p>
      <w:pPr>
        <w:ind w:firstLine="560"/>
        <w:rPr>
          <w:rFonts w:ascii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《中央行政事业单位国有资产配置管理办法》解析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行政事业单位资产管理法规修订前瞻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(4)行政事业单位资产使用与处置难点解析与收益管理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(5)事业单位对外投资管理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(6)资产会计核算实例分析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(7)资产清查实例分析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(8)国有资产年度报告编报实例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 w:firstLineChars="200"/>
        <w:jc w:val="left"/>
        <w:rPr>
          <w:rFonts w:ascii="仿宋_GB2312" w:hAnsi="Calibri" w:eastAsia="仿宋_GB2312"/>
          <w:b/>
          <w:sz w:val="28"/>
          <w:szCs w:val="28"/>
        </w:rPr>
      </w:pPr>
      <w:r>
        <w:rPr>
          <w:rFonts w:hint="eastAsia" w:ascii="仿宋_GB2312" w:hAnsi="Calibri" w:eastAsia="仿宋_GB2312"/>
          <w:b/>
          <w:sz w:val="28"/>
          <w:szCs w:val="28"/>
        </w:rPr>
        <w:t>6、财政电子票据管理</w:t>
      </w:r>
    </w:p>
    <w:p>
      <w:pPr>
        <w:ind w:firstLine="56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(1)财政部《关于全面推开财政电子票据管理改革的通知》</w:t>
      </w:r>
    </w:p>
    <w:p>
      <w:pPr>
        <w:ind w:firstLine="56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(2) 财政电子票据管理操作及流程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7ED2"/>
    <w:rsid w:val="231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2019-02-12T02:12:00Z</dcterms:created>
  <dc:creator>桑立强</dc:creator>
  <cp:lastModifiedBy>桑立强</cp:lastModifiedBy>
  <dcterms:modified xsi:type="dcterms:W3CDTF">2019-02-12T02:12:48Z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